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895" w:rsidRP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</w:p>
    <w:p w:rsidR="00E72895" w:rsidRPr="00E72895" w:rsidRDefault="00E72895" w:rsidP="00E72895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E72895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 xml:space="preserve">Приложение №1 </w:t>
      </w:r>
    </w:p>
    <w:p w:rsidR="00E72895" w:rsidRPr="00E72895" w:rsidRDefault="00E72895" w:rsidP="00E72895">
      <w:pPr>
        <w:widowControl w:val="0"/>
        <w:suppressAutoHyphens/>
        <w:spacing w:after="0" w:line="240" w:lineRule="auto"/>
        <w:jc w:val="right"/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</w:pPr>
      <w:r w:rsidRPr="00E72895">
        <w:rPr>
          <w:rFonts w:ascii="Times New Roman" w:eastAsia="Bitstream Vera Sans" w:hAnsi="Times New Roman" w:cs="FreeSans"/>
          <w:bCs/>
          <w:kern w:val="1"/>
          <w:sz w:val="24"/>
          <w:szCs w:val="24"/>
          <w:lang w:eastAsia="zh-CN" w:bidi="hi-IN"/>
        </w:rPr>
        <w:t>к Извещению о запросе предложений</w:t>
      </w:r>
    </w:p>
    <w:p w:rsid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E72895" w:rsidRDefault="00E7289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Техническое задание</w:t>
      </w:r>
    </w:p>
    <w:p w:rsidR="00935905" w:rsidRPr="00935905" w:rsidRDefault="00935905" w:rsidP="00935905">
      <w:pPr>
        <w:keepNext/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 xml:space="preserve">на выполнение работ по подключению услуг интернет, 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, КТВ в зоне ответственности ЦТЭ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1. Сводные данные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300" w:type="dxa"/>
        <w:tblInd w:w="-902" w:type="dxa"/>
        <w:tblLayout w:type="fixed"/>
        <w:tblLook w:val="0000"/>
      </w:tblPr>
      <w:tblGrid>
        <w:gridCol w:w="720"/>
        <w:gridCol w:w="2730"/>
        <w:gridCol w:w="6850"/>
      </w:tblGrid>
      <w:tr w:rsidR="00935905" w:rsidRPr="00935905" w:rsidTr="00935905">
        <w:trPr>
          <w:trHeight w:val="39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zh-CN" w:bidi="hi-IN"/>
              </w:rPr>
              <w:t>№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п/п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before="120" w:after="12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Перечень основных данных и требований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Основные данные и требования</w:t>
            </w:r>
          </w:p>
        </w:tc>
      </w:tr>
      <w:tr w:rsidR="00935905" w:rsidRPr="00935905" w:rsidTr="00935905">
        <w:trPr>
          <w:trHeight w:val="180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</w:t>
            </w:r>
          </w:p>
        </w:tc>
      </w:tr>
      <w:tr w:rsidR="00935905" w:rsidRPr="00935905" w:rsidTr="00935905">
        <w:trPr>
          <w:trHeight w:val="79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Вид работ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подключений клиентов — физических лиц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, КТВ на сетях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FTTH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 в многоквартирных жилых домах (МКД).</w:t>
            </w:r>
          </w:p>
        </w:tc>
      </w:tr>
      <w:tr w:rsidR="00935905" w:rsidRPr="00935905" w:rsidTr="00935905">
        <w:trPr>
          <w:trHeight w:val="62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Назначение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Предоставление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мультисервисных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услуг (интернет, IP-TV, КТВ) физичес</w:t>
            </w:r>
            <w:r w:rsidR="00553A9C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ким лицам -  абонентам г. Уфа, Уфимского района, г. Благовещенск</w:t>
            </w:r>
          </w:p>
        </w:tc>
      </w:tr>
      <w:tr w:rsidR="00935905" w:rsidRPr="00935905" w:rsidTr="00935905">
        <w:trPr>
          <w:trHeight w:val="103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Намечаемый размер капитальных вложений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Стоимость подключения к услугам одного абонента: 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 IP/TV–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+КТВ – 1300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КТВ (GPON МКД) – 830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(GPON МКД) – 1000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IP/TV (GPON МКД) – 1200 руб.,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Интернет и КТВ (GPON МКД) – 1300 руб.</w:t>
            </w:r>
          </w:p>
          <w:p w:rsid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Материалы для организации доступа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входят в цену подключения (Приложение №4 к договору). Материалы для организации оптической линии (FTTH) и абонентское оборудование (FTTB и FTTH) предоставляется ОАО «Башинформсвязь» (Приложение №7 к договору).</w:t>
            </w:r>
          </w:p>
          <w:p w:rsidR="008748D2" w:rsidRPr="00935905" w:rsidRDefault="008748D2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</w:tc>
      </w:tr>
      <w:tr w:rsidR="00935905" w:rsidRPr="00935905" w:rsidTr="00935905">
        <w:trPr>
          <w:trHeight w:val="749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4.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Сроки проведения работ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8748D2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 </w:t>
            </w:r>
            <w:r w:rsidR="008748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.0</w:t>
            </w:r>
            <w:r w:rsidR="008748D2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2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.2015 г. по 3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06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.201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5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</w:t>
            </w:r>
          </w:p>
        </w:tc>
      </w:tr>
      <w:tr w:rsidR="00935905" w:rsidRPr="00935905" w:rsidTr="00935905">
        <w:trPr>
          <w:trHeight w:val="53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5.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de-DE"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Основные показатели 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553A9C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3287</w:t>
            </w:r>
            <w:r w:rsidR="00935905"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– подключений за весь период</w:t>
            </w:r>
          </w:p>
        </w:tc>
      </w:tr>
      <w:tr w:rsidR="00935905" w:rsidRPr="00935905" w:rsidTr="00935905">
        <w:trPr>
          <w:trHeight w:val="2873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6.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Комплекс работ по выполнению договора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Согласование с клиентом времени выполнения работ.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Оценка состояния коммуникаций перед монтажными работами, и доведение информации о состоянии коммуникаций до Заказчика.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Абонентских коробок (АК), распределительных коробок (РК) в подъезде: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дверцы;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количество свободных отводов ТАН.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Телекоммуникационного шкафа (ТШ):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наличие и состояние (открыта/закрыта) двери;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Трубостойки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- наличие/отсутствие на этажах;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792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 проходимость.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 окончании работы все коммуникации должны быть приведены в нормальное состояние, абонентские коробки – закрыты, ТШ-закрыт. 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работ по подключению клиента к услугам интернет,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кабеля UTP 2х2 5е от   распределительной коробки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Обжим коннекторов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-45;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розетки типа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RJ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-45. 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услугам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GPON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МКД), в том числе: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от   распределительного шкафа (ШКОН) до помещения клиента по слаботочной шахте,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трубостойкам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ОАО «Башинформсвязь» или кабель-каналам;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Установка оптической розетки ШКОН-ПА1 в помещении клиента и сварка оптического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патчкорда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с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пигтейлом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Подключение оптического терминала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ONT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в помещении клиента.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Выполнение работ по подключению клиента к услуге КТВ от коробки АК (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FTTB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):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Прокладка коаксиального кабеля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RG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-6;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Сверление отверстия в помещении клиента (1     шт. – до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d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10 мм);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Обжим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F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-разъемов (для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-штекера, бочки);</w:t>
            </w:r>
          </w:p>
          <w:p w:rsidR="00935905" w:rsidRPr="00935905" w:rsidRDefault="00935905" w:rsidP="00935905">
            <w:pPr>
              <w:widowControl w:val="0"/>
              <w:numPr>
                <w:ilvl w:val="1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Автоматическая настройка одного телевизора и демонстрация всех каналов.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ind w:left="360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Настройка соединения на один персональный компьютер и/или настройка роутера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STB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(для услуги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), и/или автоматическая настройка одного телевизора.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Тестирование целостности линии и демонстрация клиенту услуги интернет и/или 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IP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-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val="en-US" w:eastAsia="zh-CN" w:bidi="hi-IN"/>
              </w:rPr>
              <w:t>TV</w:t>
            </w: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и/или КТВ.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подписания со стороны клиента заранее оформленных Заказчиком документов;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Передача подписанных клиентом документов Заказчику.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Обеспечение доступа в дома для организации подключений.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Выполнение </w:t>
            </w:r>
            <w:proofErr w:type="spellStart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инсталляционно-монтажных</w:t>
            </w:r>
            <w:proofErr w:type="spellEnd"/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работ по организации подключений в соответствии с Порядком подключений и перечнем работ и материалов, входящих в базовую установку. (Приложение №№2,5 к договору).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Демонстрация выполнения работ и готовность услуг клиенту.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 xml:space="preserve"> Обеспечение учета и хранения материалов и оборудования.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Обеспечение требуемой отчетности по материалам и оборудованию. </w:t>
            </w:r>
          </w:p>
          <w:p w:rsidR="00935905" w:rsidRPr="00935905" w:rsidRDefault="00935905" w:rsidP="00935905">
            <w:pPr>
              <w:widowControl w:val="0"/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 Передача (еженедельно) списков инсталляционных бригад с указанием контактных телефонов (Приложение №8 к договору).</w:t>
            </w:r>
          </w:p>
        </w:tc>
      </w:tr>
      <w:tr w:rsidR="00935905" w:rsidRPr="00935905" w:rsidTr="00935905">
        <w:trPr>
          <w:trHeight w:val="106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lastRenderedPageBreak/>
              <w:t>7.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Контактное лицо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По техническим вопросам обращаться: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>г. Уфа, ул. Ленина, д. 32, Цех ИПУС,</w:t>
            </w:r>
          </w:p>
          <w:p w:rsidR="00935905" w:rsidRPr="00935905" w:rsidRDefault="00935905" w:rsidP="00935905">
            <w:pPr>
              <w:widowControl w:val="0"/>
              <w:suppressAutoHyphens/>
              <w:spacing w:after="0" w:line="240" w:lineRule="auto"/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</w:pPr>
            <w:r w:rsidRPr="00935905">
              <w:rPr>
                <w:rFonts w:ascii="Times New Roman" w:eastAsia="Bitstream Vera Sans" w:hAnsi="Times New Roman" w:cs="FreeSans"/>
                <w:kern w:val="1"/>
                <w:sz w:val="24"/>
                <w:szCs w:val="24"/>
                <w:lang w:eastAsia="zh-CN" w:bidi="hi-IN"/>
              </w:rPr>
              <w:t xml:space="preserve">Перельман И.И., т./ф.: 251-61-01, 275-62-20 </w:t>
            </w:r>
          </w:p>
        </w:tc>
      </w:tr>
    </w:tbl>
    <w:p w:rsidR="00935905" w:rsidRDefault="00935905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tbl>
      <w:tblPr>
        <w:tblW w:w="10207" w:type="dxa"/>
        <w:tblInd w:w="-885" w:type="dxa"/>
        <w:tblLook w:val="04A0"/>
      </w:tblPr>
      <w:tblGrid>
        <w:gridCol w:w="851"/>
        <w:gridCol w:w="3686"/>
        <w:gridCol w:w="5670"/>
      </w:tblGrid>
      <w:tr w:rsidR="008748D2" w:rsidRPr="008748D2" w:rsidTr="008748D2">
        <w:trPr>
          <w:trHeight w:val="114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proofErr w:type="spellStart"/>
            <w:proofErr w:type="gram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    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Вид</w:t>
            </w:r>
            <w:proofErr w:type="spell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подключаемой</w:t>
            </w:r>
            <w:proofErr w:type="spellEnd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услуги</w:t>
            </w:r>
            <w:proofErr w:type="spellEnd"/>
          </w:p>
        </w:tc>
        <w:tc>
          <w:tcPr>
            <w:tcW w:w="5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подключений</w:t>
            </w:r>
          </w:p>
        </w:tc>
      </w:tr>
      <w:tr w:rsidR="008748D2" w:rsidRPr="008748D2" w:rsidTr="008748D2">
        <w:trPr>
          <w:trHeight w:val="6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8748D2" w:rsidDel="009C2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471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КТВ</w:t>
            </w:r>
            <w:r w:rsidRPr="008748D2" w:rsidDel="009C299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750</w:t>
            </w:r>
          </w:p>
        </w:tc>
      </w:tr>
      <w:tr w:rsidR="008748D2" w:rsidRPr="008748D2" w:rsidTr="008748D2">
        <w:trPr>
          <w:trHeight w:val="182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Интернет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+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КТВ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1669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IP/TV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96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КТВ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КТВ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248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sz w:val="24"/>
                <w:szCs w:val="24"/>
              </w:rPr>
              <w:t>Интернет + IP/TV (GPON МКД)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748D2" w:rsidRPr="008748D2" w:rsidRDefault="008748D2" w:rsidP="00750F1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3 287</w:t>
            </w: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Сумма НДС 18%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48D2" w:rsidRPr="008748D2" w:rsidTr="008748D2">
        <w:trPr>
          <w:trHeight w:val="33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748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 с НДС 18%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748D2" w:rsidRPr="008748D2" w:rsidRDefault="008748D2" w:rsidP="00750F1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748D2" w:rsidRDefault="008748D2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8748D2" w:rsidRDefault="008748D2" w:rsidP="00935905">
      <w:pPr>
        <w:widowControl w:val="0"/>
        <w:suppressAutoHyphens/>
        <w:spacing w:after="0" w:line="240" w:lineRule="auto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2. Общие сведения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Подрядчик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Определяется по итогам проведения рассмотрения предложений.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Заказчик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ОАО «Башинформсвязь» — филиал ЦТЭ.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Адрес Заказчика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ул. Ленина, д. 30.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bCs/>
          <w:kern w:val="1"/>
          <w:sz w:val="24"/>
          <w:szCs w:val="24"/>
          <w:lang w:eastAsia="zh-CN" w:bidi="hi-IN"/>
        </w:rPr>
        <w:t>Место выполнения работ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: РФ, Республика Башкортостан, г. Уфа, жилые многоэтажные дома.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В настоящее время ОАО «Башинформсвязь» располагает сетями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построенными в высотных жилых домах по всей территории г.Уфы. Через данные сети ОАО «Башинформсвязь» предоставляет абонентам услуги высокоскоростного доступа к Интернет,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IP-TV,VoIP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аналоговое и цифровое кабельное телевидение (СКТВ, СЦКТВ).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lastRenderedPageBreak/>
        <w:t>В рамках работ Подрядчику необходимо осуществлять непосредственно работы по подключению абонентов сети ОАО «Башинформсвязь»: произвести монтаж, настройку, подключение к имеющимся в их домах домовым узлам по техническим данным, пусконаладочные работы абонентского оборудования, тестирование и демонстрацию работающей услуги абоненту. При этом обеспечение подписания с абонентом договора об оказании услуг связи и необходимых актов.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В процессе работы Подрядчик тесно взаимодействует с подразделениями Заказчика  для получения нарядов, договоров, ключей для доступа к домовым узлам, абонентского оборудования. Подрядчик ежедневно отчитывается об объемах выполненных работ и сдает документацию: подписанные договора, акты выполненных работ и передачи оборудования. Подрядчик самостоятельно получает доступ в здания для осуществления работ по нарядам.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Абонентское оборудование, устанавливаемое в квартире абонента, может включать в себя: Интернет-шлюз,  телевизионная приставка IP/TV; при этом для одного подключения может устанавливаться несколько экземпляров абонентского оборудования. Если технология подключения предусматривает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преднастройку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абонентского оборудования, то </w:t>
      </w:r>
      <w:proofErr w:type="spellStart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преднастройка</w:t>
      </w:r>
      <w:proofErr w:type="spellEnd"/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выполняется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3. Требования к документированию работ и</w:t>
      </w: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br/>
        <w:t>квалификацииПодрядчика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Наряды передаются в электронном виде. Абонентская документация — договора и акты - передается между Заказчиком и Подрядчиком в количестве 2-х экземпляров. 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Передача документации Заказчику должна быть зафиксирована Реестром передачи документации, в котором утверждается выполнение работ Подрядчиком.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Подрядчик должен иметь опыт подключения услуг ШПД, включая интернет по технологии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Ethernet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IP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-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TV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, а также КТВ физическим лицам на сетях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FTTB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и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val="en-US" w:eastAsia="zh-CN" w:bidi="hi-IN"/>
        </w:rPr>
        <w:t>FTTH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Персонал Подрядчика должен быть обучен работе и аттестован Заказчиком по следующим направлениям: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настройка абонентского оборудования (Интернет-шлюзы, приставки IP-TV);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монтаж СКС; ВОЛС</w:t>
      </w:r>
    </w:p>
    <w:p w:rsidR="00935905" w:rsidRPr="00935905" w:rsidRDefault="00935905" w:rsidP="00935905">
      <w:pPr>
        <w:widowControl w:val="0"/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компетентному и дружелюбному общению с абонентами и представителями ЖКХ, ТСЖ.</w:t>
      </w:r>
    </w:p>
    <w:p w:rsidR="00935905" w:rsidRPr="00935905" w:rsidRDefault="00935905" w:rsidP="00553A9C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Приёмка работ должна быть отражена в документации, а работающие услуги продемонстрированы абоненту и зафиксированы на абонентском оборудовании.</w:t>
      </w:r>
    </w:p>
    <w:p w:rsidR="00E72895" w:rsidRDefault="00E7289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keepNext/>
        <w:widowControl w:val="0"/>
        <w:suppressAutoHyphens/>
        <w:spacing w:after="120" w:line="240" w:lineRule="auto"/>
        <w:jc w:val="center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4. Дополнительная информация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Срок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с </w:t>
      </w:r>
      <w:bookmarkStart w:id="0" w:name="_GoBack"/>
      <w:bookmarkEnd w:id="0"/>
      <w:r w:rsidR="00042FF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01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</w:t>
      </w:r>
      <w:r w:rsidR="00042FFE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февраля 2015г.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по 30 июня 2015 г.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Порядок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работы, производимые Подрядчиком, не должны нарушать распорядка основной деятельности Заказчика и функционирования существующих телекоммуникаций.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К производству монтажных работ Подрядчик может приступать только после предоставления Заказчику документов, удостоверяющих квалификацию персонала.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t>Контроль выполнения работ: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 xml:space="preserve"> процесс контроля за выполнением нарядов осуществляется Заказчиком ежедневно. Еженедельно Заказчик фиксирует в протоколе результаты деятельности Подрядчика за отчетные периоды и осуществляет представление на поощрение или штрафные санкции в отношении Подрядчика.</w:t>
      </w:r>
    </w:p>
    <w:p w:rsidR="00935905" w:rsidRPr="00935905" w:rsidRDefault="00935905" w:rsidP="00935905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</w:pPr>
      <w:r w:rsidRPr="00935905">
        <w:rPr>
          <w:rFonts w:ascii="Times New Roman" w:eastAsia="Bitstream Vera Sans" w:hAnsi="Times New Roman" w:cs="FreeSans"/>
          <w:b/>
          <w:kern w:val="1"/>
          <w:sz w:val="24"/>
          <w:szCs w:val="24"/>
          <w:lang w:eastAsia="zh-CN" w:bidi="hi-IN"/>
        </w:rPr>
        <w:lastRenderedPageBreak/>
        <w:t xml:space="preserve">Гарантия на выполненные работы: </w:t>
      </w:r>
      <w:r w:rsidRPr="00935905">
        <w:rPr>
          <w:rFonts w:ascii="Times New Roman" w:eastAsia="Bitstream Vera Sans" w:hAnsi="Times New Roman" w:cs="FreeSans"/>
          <w:kern w:val="1"/>
          <w:sz w:val="24"/>
          <w:szCs w:val="24"/>
          <w:lang w:eastAsia="zh-CN" w:bidi="hi-IN"/>
        </w:rPr>
        <w:t>не менее 12 (двенадцати) месяцев.</w:t>
      </w:r>
    </w:p>
    <w:p w:rsidR="006B7CD5" w:rsidRDefault="006B7CD5"/>
    <w:sectPr w:rsidR="006B7CD5" w:rsidSect="00DC3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itstream Vera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Free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574F2"/>
    <w:multiLevelType w:val="multilevel"/>
    <w:tmpl w:val="723613C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">
    <w:nsid w:val="516B3A6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00E5"/>
    <w:rsid w:val="00042FFE"/>
    <w:rsid w:val="002700E5"/>
    <w:rsid w:val="00553A9C"/>
    <w:rsid w:val="006B7CD5"/>
    <w:rsid w:val="007405D1"/>
    <w:rsid w:val="007A7CF9"/>
    <w:rsid w:val="008748D2"/>
    <w:rsid w:val="00935905"/>
    <w:rsid w:val="00B13A03"/>
    <w:rsid w:val="00C3461E"/>
    <w:rsid w:val="00DC3CD0"/>
    <w:rsid w:val="00E72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1181</Words>
  <Characters>6738</Characters>
  <Application>Microsoft Office Word</Application>
  <DocSecurity>0</DocSecurity>
  <Lines>56</Lines>
  <Paragraphs>15</Paragraphs>
  <ScaleCrop>false</ScaleCrop>
  <Company>BIS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Сунаргулов Ильшат Мавлижанович</dc:creator>
  <cp:keywords/>
  <dc:description/>
  <cp:lastModifiedBy>e.farrahova</cp:lastModifiedBy>
  <cp:revision>2</cp:revision>
  <cp:lastPrinted>2014-12-30T07:40:00Z</cp:lastPrinted>
  <dcterms:created xsi:type="dcterms:W3CDTF">2015-01-12T12:04:00Z</dcterms:created>
  <dcterms:modified xsi:type="dcterms:W3CDTF">2015-01-12T12:04:00Z</dcterms:modified>
</cp:coreProperties>
</file>